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CE1" w:rsidRPr="000A2506" w:rsidRDefault="004A7CE1" w:rsidP="004A7C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A2506">
        <w:rPr>
          <w:rFonts w:ascii="Times New Roman" w:hAnsi="Times New Roman" w:cs="Times New Roman"/>
          <w:b/>
          <w:sz w:val="28"/>
          <w:szCs w:val="28"/>
        </w:rPr>
        <w:t>Журавлев Д.М.</w:t>
      </w:r>
    </w:p>
    <w:bookmarkEnd w:id="0"/>
    <w:p w:rsidR="000A2506" w:rsidRPr="00DA5932" w:rsidRDefault="000A2506" w:rsidP="000A250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A5932">
        <w:rPr>
          <w:rFonts w:ascii="Times New Roman" w:hAnsi="Times New Roman" w:cs="Times New Roman"/>
          <w:i/>
          <w:sz w:val="28"/>
          <w:szCs w:val="28"/>
        </w:rPr>
        <w:t>Москва, НИИ Социальных систем при МГУ им. М.В. Ломоносова</w:t>
      </w:r>
    </w:p>
    <w:p w:rsidR="000A2506" w:rsidRPr="00E45E0A" w:rsidRDefault="000A2506" w:rsidP="000A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E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post</w:t>
      </w:r>
      <w:r w:rsidRPr="00E45E0A">
        <w:rPr>
          <w:rFonts w:ascii="Times New Roman" w:eastAsia="Times New Roman" w:hAnsi="Times New Roman" w:cs="Times New Roman"/>
          <w:sz w:val="28"/>
          <w:szCs w:val="28"/>
          <w:lang w:eastAsia="ru-RU"/>
        </w:rPr>
        <w:t>@niiss.ru</w:t>
      </w:r>
    </w:p>
    <w:p w:rsidR="004A7CE1" w:rsidRDefault="004A7CE1" w:rsidP="00AC2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AF5" w:rsidRDefault="00AC2AF5" w:rsidP="00AC2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AF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РИНЦИПЫ РАЗРАБОТКИ И ФОРМИРОВАНИЯ СИСТЕМЫ СТРАТЕГИЧЕСКОГО ПЛАНИРОВАНИЯ И УПРАВЛЕНИЯ РАЗВИТИЕМ РЕГИОНА</w:t>
      </w:r>
    </w:p>
    <w:p w:rsidR="00AC2AF5" w:rsidRDefault="00AC2AF5" w:rsidP="005802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3CE" w:rsidRPr="00AC2AF5" w:rsidRDefault="008154D9" w:rsidP="00580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F5">
        <w:rPr>
          <w:rFonts w:ascii="Times New Roman" w:hAnsi="Times New Roman" w:cs="Times New Roman"/>
          <w:sz w:val="28"/>
          <w:szCs w:val="28"/>
        </w:rPr>
        <w:t>Экономические кризисы прошедшего десятилетия определили необходимость ориентации национальной экономики на решение задач долгосрочного развития производительных сил, модернизацию их отраслевой и региональной структуры</w:t>
      </w:r>
      <w:r w:rsidR="0067444C">
        <w:rPr>
          <w:rFonts w:ascii="Times New Roman" w:hAnsi="Times New Roman" w:cs="Times New Roman"/>
          <w:sz w:val="28"/>
          <w:szCs w:val="28"/>
        </w:rPr>
        <w:t xml:space="preserve"> </w:t>
      </w:r>
      <w:r w:rsidR="0067444C" w:rsidRPr="0067444C">
        <w:rPr>
          <w:rFonts w:ascii="Times New Roman" w:hAnsi="Times New Roman" w:cs="Times New Roman"/>
          <w:sz w:val="28"/>
          <w:szCs w:val="28"/>
        </w:rPr>
        <w:t>[</w:t>
      </w:r>
      <w:r w:rsidR="0067444C">
        <w:rPr>
          <w:rFonts w:ascii="Times New Roman" w:hAnsi="Times New Roman" w:cs="Times New Roman"/>
          <w:sz w:val="28"/>
          <w:szCs w:val="28"/>
        </w:rPr>
        <w:t>1, 4, 6, 7</w:t>
      </w:r>
      <w:r w:rsidR="0067444C" w:rsidRPr="0067444C">
        <w:rPr>
          <w:rFonts w:ascii="Times New Roman" w:hAnsi="Times New Roman" w:cs="Times New Roman"/>
          <w:sz w:val="28"/>
          <w:szCs w:val="28"/>
        </w:rPr>
        <w:t>]</w:t>
      </w:r>
      <w:r w:rsidRPr="00AC2A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4D9" w:rsidRPr="00AC2AF5" w:rsidRDefault="005553CE" w:rsidP="00D25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F5">
        <w:rPr>
          <w:rFonts w:ascii="Times New Roman" w:hAnsi="Times New Roman" w:cs="Times New Roman"/>
          <w:sz w:val="28"/>
          <w:szCs w:val="28"/>
        </w:rPr>
        <w:t>Системные основы опережающего развития экономики Российской Федерации определены федеральными, отраслевыми и региональными нормативно-правовыми актами, интегрирующим</w:t>
      </w:r>
      <w:r w:rsidR="00AC2AF5">
        <w:rPr>
          <w:rFonts w:ascii="Times New Roman" w:hAnsi="Times New Roman" w:cs="Times New Roman"/>
          <w:sz w:val="28"/>
          <w:szCs w:val="28"/>
        </w:rPr>
        <w:t>и</w:t>
      </w:r>
      <w:r w:rsidRPr="00AC2AF5">
        <w:rPr>
          <w:rFonts w:ascii="Times New Roman" w:hAnsi="Times New Roman" w:cs="Times New Roman"/>
          <w:sz w:val="28"/>
          <w:szCs w:val="28"/>
        </w:rPr>
        <w:t xml:space="preserve"> и направляющим</w:t>
      </w:r>
      <w:r w:rsidR="00AC2AF5">
        <w:rPr>
          <w:rFonts w:ascii="Times New Roman" w:hAnsi="Times New Roman" w:cs="Times New Roman"/>
          <w:sz w:val="28"/>
          <w:szCs w:val="28"/>
        </w:rPr>
        <w:t>и</w:t>
      </w:r>
      <w:r w:rsidRPr="00AC2AF5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AC2AF5">
        <w:rPr>
          <w:rFonts w:ascii="Times New Roman" w:hAnsi="Times New Roman" w:cs="Times New Roman"/>
          <w:sz w:val="28"/>
          <w:szCs w:val="28"/>
        </w:rPr>
        <w:t>ами</w:t>
      </w:r>
      <w:r w:rsidRPr="00AC2AF5">
        <w:rPr>
          <w:rFonts w:ascii="Times New Roman" w:hAnsi="Times New Roman" w:cs="Times New Roman"/>
          <w:sz w:val="28"/>
          <w:szCs w:val="28"/>
        </w:rPr>
        <w:t xml:space="preserve"> которых явля</w:t>
      </w:r>
      <w:r w:rsidR="00AC2AF5">
        <w:rPr>
          <w:rFonts w:ascii="Times New Roman" w:hAnsi="Times New Roman" w:cs="Times New Roman"/>
          <w:sz w:val="28"/>
          <w:szCs w:val="28"/>
        </w:rPr>
        <w:t>ются</w:t>
      </w:r>
      <w:r w:rsidR="00D25464" w:rsidRPr="00AC2AF5">
        <w:rPr>
          <w:rFonts w:ascii="Times New Roman" w:hAnsi="Times New Roman" w:cs="Times New Roman"/>
          <w:sz w:val="28"/>
          <w:szCs w:val="28"/>
        </w:rPr>
        <w:t xml:space="preserve"> </w:t>
      </w:r>
      <w:r w:rsidRPr="00AC2AF5">
        <w:rPr>
          <w:rFonts w:ascii="Times New Roman" w:hAnsi="Times New Roman" w:cs="Times New Roman"/>
          <w:sz w:val="28"/>
          <w:szCs w:val="28"/>
        </w:rPr>
        <w:t>Указ</w:t>
      </w:r>
      <w:r w:rsidR="00AC2AF5">
        <w:rPr>
          <w:rFonts w:ascii="Times New Roman" w:hAnsi="Times New Roman" w:cs="Times New Roman"/>
          <w:sz w:val="28"/>
          <w:szCs w:val="28"/>
        </w:rPr>
        <w:t>ы</w:t>
      </w:r>
      <w:r w:rsidRPr="00AC2AF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AC2AF5" w:rsidRPr="00AC2AF5">
        <w:rPr>
          <w:rFonts w:ascii="Times New Roman" w:hAnsi="Times New Roman" w:cs="Times New Roman"/>
          <w:sz w:val="28"/>
          <w:szCs w:val="28"/>
        </w:rPr>
        <w:t xml:space="preserve">№ 204 </w:t>
      </w:r>
      <w:r w:rsidRPr="00AC2AF5">
        <w:rPr>
          <w:rFonts w:ascii="Times New Roman" w:hAnsi="Times New Roman" w:cs="Times New Roman"/>
          <w:sz w:val="28"/>
          <w:szCs w:val="28"/>
        </w:rPr>
        <w:t>от 7 мая 2018 г. «О национальных целях и стратегических задачах развития Российской Федерации на период до 2024 года»</w:t>
      </w:r>
      <w:r w:rsidR="00AC2AF5">
        <w:rPr>
          <w:rFonts w:ascii="Times New Roman" w:hAnsi="Times New Roman" w:cs="Times New Roman"/>
          <w:sz w:val="28"/>
          <w:szCs w:val="28"/>
        </w:rPr>
        <w:t xml:space="preserve"> и № </w:t>
      </w:r>
      <w:r w:rsidR="00AC2AF5" w:rsidRPr="00AC2AF5">
        <w:rPr>
          <w:rFonts w:ascii="Times New Roman" w:hAnsi="Times New Roman" w:cs="Times New Roman"/>
          <w:sz w:val="28"/>
          <w:szCs w:val="28"/>
        </w:rPr>
        <w:t>№ 474 от 21 июля 2020 г. «О национальных целях развития Российской Федерации на период до 2030 года»</w:t>
      </w:r>
      <w:r w:rsidR="00AC2AF5">
        <w:rPr>
          <w:rFonts w:ascii="Times New Roman" w:hAnsi="Times New Roman" w:cs="Times New Roman"/>
          <w:sz w:val="28"/>
          <w:szCs w:val="28"/>
        </w:rPr>
        <w:t>.</w:t>
      </w:r>
      <w:r w:rsidR="000A2506">
        <w:rPr>
          <w:rFonts w:ascii="Times New Roman" w:hAnsi="Times New Roman" w:cs="Times New Roman"/>
          <w:sz w:val="28"/>
          <w:szCs w:val="28"/>
        </w:rPr>
        <w:t xml:space="preserve"> </w:t>
      </w:r>
      <w:r w:rsidR="00D25464" w:rsidRPr="00AC2AF5">
        <w:rPr>
          <w:rFonts w:ascii="Times New Roman" w:hAnsi="Times New Roman" w:cs="Times New Roman"/>
          <w:sz w:val="28"/>
          <w:szCs w:val="28"/>
        </w:rPr>
        <w:t>Предполагается, что для достижения целей и реализации задач, определенных указанными документами, необходим инструментарий стратегического планирования, выполняющий функции поддержки принятий решений по оценке, разработке и контролю исполнения программно-целевых мероприятий</w:t>
      </w:r>
      <w:r w:rsidR="0067444C">
        <w:rPr>
          <w:rFonts w:ascii="Times New Roman" w:hAnsi="Times New Roman" w:cs="Times New Roman"/>
          <w:sz w:val="28"/>
          <w:szCs w:val="28"/>
        </w:rPr>
        <w:t xml:space="preserve"> </w:t>
      </w:r>
      <w:r w:rsidR="0067444C" w:rsidRPr="0067444C">
        <w:rPr>
          <w:rFonts w:ascii="Times New Roman" w:hAnsi="Times New Roman" w:cs="Times New Roman"/>
          <w:sz w:val="28"/>
          <w:szCs w:val="28"/>
        </w:rPr>
        <w:t>[2</w:t>
      </w:r>
      <w:r w:rsidR="0067444C">
        <w:rPr>
          <w:rFonts w:ascii="Times New Roman" w:hAnsi="Times New Roman" w:cs="Times New Roman"/>
          <w:sz w:val="28"/>
          <w:szCs w:val="28"/>
        </w:rPr>
        <w:t>,</w:t>
      </w:r>
      <w:r w:rsidR="0067444C" w:rsidRPr="0067444C">
        <w:rPr>
          <w:rFonts w:ascii="Times New Roman" w:hAnsi="Times New Roman" w:cs="Times New Roman"/>
          <w:sz w:val="28"/>
          <w:szCs w:val="28"/>
        </w:rPr>
        <w:t xml:space="preserve"> 10]</w:t>
      </w:r>
      <w:r w:rsidR="00D25464" w:rsidRPr="00AC2AF5">
        <w:rPr>
          <w:rFonts w:ascii="Times New Roman" w:hAnsi="Times New Roman" w:cs="Times New Roman"/>
          <w:sz w:val="28"/>
          <w:szCs w:val="28"/>
        </w:rPr>
        <w:t>.</w:t>
      </w:r>
      <w:r w:rsidR="000A2506">
        <w:rPr>
          <w:rFonts w:ascii="Times New Roman" w:hAnsi="Times New Roman" w:cs="Times New Roman"/>
          <w:sz w:val="28"/>
          <w:szCs w:val="28"/>
        </w:rPr>
        <w:t xml:space="preserve"> </w:t>
      </w:r>
      <w:r w:rsidR="008154D9" w:rsidRPr="00AC2AF5">
        <w:rPr>
          <w:rFonts w:ascii="Times New Roman" w:hAnsi="Times New Roman" w:cs="Times New Roman"/>
          <w:sz w:val="28"/>
          <w:szCs w:val="28"/>
        </w:rPr>
        <w:t xml:space="preserve">Подобное предположение основано на том, что региональные органы исполнительной власти, при разработке долгосрочных целевых программ испытывают определенные трудности, связанные, прежде всего, с отсутствием цифрового двойника (модели социально-экономической системы), </w:t>
      </w:r>
      <w:r w:rsidR="003C7628" w:rsidRPr="00AC2AF5">
        <w:rPr>
          <w:rFonts w:ascii="Times New Roman" w:hAnsi="Times New Roman" w:cs="Times New Roman"/>
          <w:sz w:val="28"/>
          <w:szCs w:val="28"/>
        </w:rPr>
        <w:t>сформированного</w:t>
      </w:r>
      <w:r w:rsidR="008154D9" w:rsidRPr="00AC2AF5">
        <w:rPr>
          <w:rFonts w:ascii="Times New Roman" w:hAnsi="Times New Roman" w:cs="Times New Roman"/>
          <w:sz w:val="28"/>
          <w:szCs w:val="28"/>
        </w:rPr>
        <w:t xml:space="preserve"> с учетом специфики </w:t>
      </w:r>
      <w:r w:rsidR="003C7628" w:rsidRPr="00AC2AF5">
        <w:rPr>
          <w:rFonts w:ascii="Times New Roman" w:hAnsi="Times New Roman" w:cs="Times New Roman"/>
          <w:sz w:val="28"/>
          <w:szCs w:val="28"/>
        </w:rPr>
        <w:t xml:space="preserve">региона </w:t>
      </w:r>
      <w:r w:rsidR="008154D9" w:rsidRPr="00AC2AF5">
        <w:rPr>
          <w:rFonts w:ascii="Times New Roman" w:hAnsi="Times New Roman" w:cs="Times New Roman"/>
          <w:sz w:val="28"/>
          <w:szCs w:val="28"/>
        </w:rPr>
        <w:t>и обладающ</w:t>
      </w:r>
      <w:r w:rsidR="003C7628" w:rsidRPr="00AC2AF5">
        <w:rPr>
          <w:rFonts w:ascii="Times New Roman" w:hAnsi="Times New Roman" w:cs="Times New Roman"/>
          <w:sz w:val="28"/>
          <w:szCs w:val="28"/>
        </w:rPr>
        <w:t>его</w:t>
      </w:r>
      <w:r w:rsidR="008154D9" w:rsidRPr="00AC2AF5">
        <w:rPr>
          <w:rFonts w:ascii="Times New Roman" w:hAnsi="Times New Roman" w:cs="Times New Roman"/>
          <w:sz w:val="28"/>
          <w:szCs w:val="28"/>
        </w:rPr>
        <w:t xml:space="preserve"> свойствами универсальности и масштабирования, а также с тем, что действующие информационных систем поддержки принятия решений существенно ограничены в функциональности</w:t>
      </w:r>
      <w:r w:rsidR="0067444C">
        <w:rPr>
          <w:rFonts w:ascii="Times New Roman" w:hAnsi="Times New Roman" w:cs="Times New Roman"/>
          <w:sz w:val="28"/>
          <w:szCs w:val="28"/>
        </w:rPr>
        <w:t xml:space="preserve"> </w:t>
      </w:r>
      <w:r w:rsidR="0067444C" w:rsidRPr="0067444C">
        <w:rPr>
          <w:rFonts w:ascii="Times New Roman" w:hAnsi="Times New Roman" w:cs="Times New Roman"/>
          <w:sz w:val="28"/>
          <w:szCs w:val="28"/>
        </w:rPr>
        <w:t>[</w:t>
      </w:r>
      <w:r w:rsidR="0067444C">
        <w:rPr>
          <w:rFonts w:ascii="Times New Roman" w:hAnsi="Times New Roman" w:cs="Times New Roman"/>
          <w:sz w:val="28"/>
          <w:szCs w:val="28"/>
        </w:rPr>
        <w:t>3, 9</w:t>
      </w:r>
      <w:r w:rsidR="0067444C" w:rsidRPr="0067444C">
        <w:rPr>
          <w:rFonts w:ascii="Times New Roman" w:hAnsi="Times New Roman" w:cs="Times New Roman"/>
          <w:sz w:val="28"/>
          <w:szCs w:val="28"/>
        </w:rPr>
        <w:t>]</w:t>
      </w:r>
      <w:r w:rsidR="008154D9" w:rsidRPr="00AC2AF5">
        <w:rPr>
          <w:rFonts w:ascii="Times New Roman" w:hAnsi="Times New Roman" w:cs="Times New Roman"/>
          <w:sz w:val="28"/>
          <w:szCs w:val="28"/>
        </w:rPr>
        <w:t>.</w:t>
      </w:r>
    </w:p>
    <w:p w:rsidR="00E71A29" w:rsidRPr="00AC2AF5" w:rsidRDefault="00E71A29" w:rsidP="00FD00F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AF5">
        <w:rPr>
          <w:rFonts w:ascii="Times New Roman" w:hAnsi="Times New Roman" w:cs="Times New Roman"/>
          <w:b/>
          <w:sz w:val="28"/>
          <w:szCs w:val="28"/>
        </w:rPr>
        <w:t>Методология</w:t>
      </w:r>
    </w:p>
    <w:p w:rsidR="00E71A29" w:rsidRPr="00AC2AF5" w:rsidRDefault="00E71A29" w:rsidP="00FD00F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Региональная экономическая система, равно как и любой другой сложный объект, состоит из определенного множества взаимодействующих друг с другом экономических процессов, каждый из которых может быть рассмотрен как «черный ящик» (</w:t>
      </w:r>
      <w:r w:rsidRPr="00AC2AF5">
        <w:rPr>
          <w:rFonts w:ascii="Times New Roman" w:eastAsia="Times New Roman" w:hAnsi="Times New Roman" w:cs="Times New Roman"/>
          <w:i/>
          <w:sz w:val="28"/>
          <w:szCs w:val="28"/>
          <w:lang w:val="en-US" w:eastAsia="ru-RU" w:bidi="ru-RU"/>
        </w:rPr>
        <w:t>f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), на вход которого поступают факторы ресурсы (</w:t>
      </w:r>
      <w:r w:rsidRPr="00AC2AF5">
        <w:rPr>
          <w:rFonts w:ascii="Times New Roman" w:eastAsia="Times New Roman" w:hAnsi="Times New Roman" w:cs="Times New Roman"/>
          <w:i/>
          <w:sz w:val="28"/>
          <w:szCs w:val="28"/>
          <w:lang w:val="en-US" w:eastAsia="ru-RU" w:bidi="ru-RU"/>
        </w:rPr>
        <w:t>x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), выходом (</w:t>
      </w:r>
      <w:r w:rsidRPr="00AC2AF5">
        <w:rPr>
          <w:rFonts w:ascii="Times New Roman" w:eastAsia="Times New Roman" w:hAnsi="Times New Roman" w:cs="Times New Roman"/>
          <w:i/>
          <w:sz w:val="28"/>
          <w:szCs w:val="28"/>
          <w:lang w:val="en-US" w:eastAsia="ru-RU" w:bidi="ru-RU"/>
        </w:rPr>
        <w:t>y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является результат - изменение условий и характера труда занятой части населения, увеличение номенклатуры инновационной продукции на региональном рынке, рост числа мест в высших учебных заведениях, финансируемых из бюджета и т.д. (</w:t>
      </w:r>
      <w:hyperlink w:anchor="_bookmark8" w:history="1">
        <w:r w:rsidRPr="00AC2AF5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рис.</w:t>
        </w:r>
      </w:hyperlink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1).</w:t>
      </w:r>
    </w:p>
    <w:p w:rsidR="00C24EC3" w:rsidRPr="00AC2AF5" w:rsidRDefault="00C24EC3" w:rsidP="00E71A29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71A29" w:rsidRPr="00AC2AF5" w:rsidRDefault="00E71A29" w:rsidP="00E71A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object w:dxaOrig="10912" w:dyaOrig="4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05pt;height:202.9pt" o:ole="">
            <v:imagedata r:id="rId8" o:title=""/>
          </v:shape>
          <o:OLEObject Type="Embed" ProgID="Visio.Drawing.11" ShapeID="_x0000_i1025" DrawAspect="Content" ObjectID="_1663237925" r:id="rId9"/>
        </w:object>
      </w:r>
    </w:p>
    <w:p w:rsidR="00E71A29" w:rsidRPr="00AC2AF5" w:rsidRDefault="00E71A29" w:rsidP="00E71A29">
      <w:pPr>
        <w:shd w:val="clear" w:color="auto" w:fill="FFFFFF" w:themeFill="background1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E71A29" w:rsidRPr="00AC2AF5" w:rsidRDefault="00E71A29" w:rsidP="00E71A2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45E0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Рис. 1.</w:t>
      </w:r>
      <w:r w:rsidRPr="00AC2AF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Модель </w:t>
      </w:r>
      <w:r w:rsidRPr="00AC2AF5">
        <w:rPr>
          <w:rFonts w:ascii="Times New Roman" w:hAnsi="Times New Roman" w:cs="Times New Roman"/>
          <w:sz w:val="28"/>
          <w:szCs w:val="28"/>
          <w:lang w:eastAsia="ru-RU"/>
        </w:rPr>
        <w:t>региональной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экономической системы</w:t>
      </w:r>
    </w:p>
    <w:p w:rsidR="00E71A29" w:rsidRPr="00AC2AF5" w:rsidRDefault="00E71A29" w:rsidP="00E71A29">
      <w:pPr>
        <w:suppressAutoHyphens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71A29" w:rsidRPr="000A2506" w:rsidRDefault="00E71A29" w:rsidP="000A250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Параметрический анализ зависимостей </w:t>
      </w:r>
      <w:r w:rsidRPr="0067444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X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</w:t>
      </w:r>
      <w:r w:rsidRPr="0067444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Y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позволит сформировать </w:t>
      </w:r>
      <w:r w:rsidRPr="000A250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зависимости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между фактором (</w:t>
      </w:r>
      <w:r w:rsidRPr="0067444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X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и индикатором (</w:t>
      </w:r>
      <w:r w:rsidRPr="0067444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Y</w:t>
      </w:r>
      <w:r w:rsidRPr="00AC2AF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), отражающие характер исследуемых процессов. </w:t>
      </w:r>
      <w:r w:rsidRPr="000A250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Подавая на вход «цифрового двойника» заданные значения </w:t>
      </w:r>
      <w:r w:rsidRPr="0067444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Xi</w:t>
      </w:r>
      <w:r w:rsidRPr="000A250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выходе можно получить прогнозные результаты </w:t>
      </w:r>
      <w:r w:rsidRPr="0067444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Yi</w:t>
      </w:r>
      <w:r w:rsidRPr="000A250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Изменяя параметры «цифрового двойника» появляется возможность целеполагания и прогнозирования протекания того или иного экономического процесса, то есть реализуется процесс стратегирования</w:t>
      </w:r>
      <w:r w:rsidR="0067444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67444C" w:rsidRPr="0067444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[</w:t>
      </w:r>
      <w:r w:rsidR="0067444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5, 8, 12</w:t>
      </w:r>
      <w:r w:rsidR="0067444C" w:rsidRPr="0067444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]</w:t>
      </w:r>
      <w:r w:rsidRPr="000A250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E71A29" w:rsidRPr="00AC2AF5" w:rsidRDefault="00E71A29" w:rsidP="000A250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A250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Концептуальные требования к инструментарию стратегического планирования, как к системе поддержке принятия решений, определяющей приоритетные траектории развития региональной экономической системы сформулированы следующим</w:t>
      </w:r>
      <w:r w:rsidRPr="00AC2AF5">
        <w:rPr>
          <w:rFonts w:ascii="Times New Roman" w:hAnsi="Times New Roman" w:cs="Times New Roman"/>
          <w:sz w:val="28"/>
          <w:szCs w:val="28"/>
          <w:lang w:eastAsia="ar-SA"/>
        </w:rPr>
        <w:t xml:space="preserve"> образом:</w:t>
      </w:r>
    </w:p>
    <w:p w:rsidR="00E71A29" w:rsidRPr="00AC2AF5" w:rsidRDefault="00E71A29" w:rsidP="000A2506">
      <w:pPr>
        <w:pStyle w:val="a8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AC2AF5">
        <w:rPr>
          <w:rFonts w:ascii="Times New Roman" w:eastAsia="Times New Roman" w:hAnsi="Times New Roman"/>
          <w:sz w:val="28"/>
          <w:szCs w:val="28"/>
          <w:lang w:eastAsia="ru-RU" w:bidi="ru-RU"/>
        </w:rPr>
        <w:t>Содержательная часть должна описывать экономические процессы, наиболее полно отражающие суть функционирования социально-экономической системы региона.</w:t>
      </w:r>
    </w:p>
    <w:p w:rsidR="00E71A29" w:rsidRPr="00AC2AF5" w:rsidRDefault="00E71A29" w:rsidP="000A2506">
      <w:pPr>
        <w:pStyle w:val="a8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AC2AF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Исходные данные для проведения комплексного анализа должны быть доступными, иметь официальный статус, горизонт исследования должен быть не менее 10 лет. </w:t>
      </w:r>
    </w:p>
    <w:p w:rsidR="00E71A29" w:rsidRPr="00AC2AF5" w:rsidRDefault="00E71A29" w:rsidP="000A2506">
      <w:pPr>
        <w:pStyle w:val="a8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AC2AF5">
        <w:rPr>
          <w:rFonts w:ascii="Times New Roman" w:eastAsia="Times New Roman" w:hAnsi="Times New Roman"/>
          <w:sz w:val="28"/>
          <w:szCs w:val="28"/>
          <w:lang w:eastAsia="ru-RU" w:bidi="ru-RU"/>
        </w:rPr>
        <w:t>Математический аппарат, используемый для экономического анализа и создания цифрового двойника региональной экономической системы</w:t>
      </w:r>
      <w:r w:rsidR="0067444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67444C" w:rsidRPr="0067444C">
        <w:rPr>
          <w:rFonts w:ascii="Times New Roman" w:eastAsia="Times New Roman" w:hAnsi="Times New Roman"/>
          <w:sz w:val="28"/>
          <w:szCs w:val="28"/>
          <w:lang w:eastAsia="ru-RU" w:bidi="ru-RU"/>
        </w:rPr>
        <w:t>[</w:t>
      </w:r>
      <w:r w:rsidR="0067444C">
        <w:rPr>
          <w:rFonts w:ascii="Times New Roman" w:eastAsia="Times New Roman" w:hAnsi="Times New Roman"/>
          <w:sz w:val="28"/>
          <w:szCs w:val="28"/>
          <w:lang w:eastAsia="ru-RU" w:bidi="ru-RU"/>
        </w:rPr>
        <w:t>11</w:t>
      </w:r>
      <w:r w:rsidR="0067444C" w:rsidRPr="0067444C">
        <w:rPr>
          <w:rFonts w:ascii="Times New Roman" w:eastAsia="Times New Roman" w:hAnsi="Times New Roman"/>
          <w:sz w:val="28"/>
          <w:szCs w:val="28"/>
          <w:lang w:eastAsia="ru-RU" w:bidi="ru-RU"/>
        </w:rPr>
        <w:t>]</w:t>
      </w:r>
      <w:r w:rsidRPr="00AC2AF5">
        <w:rPr>
          <w:rFonts w:ascii="Times New Roman" w:eastAsia="Times New Roman" w:hAnsi="Times New Roman"/>
          <w:sz w:val="28"/>
          <w:szCs w:val="28"/>
          <w:lang w:eastAsia="ru-RU" w:bidi="ru-RU"/>
        </w:rPr>
        <w:t>, должен быть выбран таким образом, чтобы обеспечить:</w:t>
      </w:r>
    </w:p>
    <w:p w:rsidR="00E71A29" w:rsidRPr="00AC2AF5" w:rsidRDefault="00E71A29" w:rsidP="000A2506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оценку степени значимости связи между фактором </w:t>
      </w:r>
      <w:r w:rsidRPr="00AC2AF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Х</w:t>
      </w: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результатом функционирования процесса </w:t>
      </w:r>
      <w:r w:rsidRPr="00AC2AF5">
        <w:rPr>
          <w:rFonts w:ascii="Times New Roman" w:eastAsia="Times New Roman" w:hAnsi="Times New Roman"/>
          <w:i/>
          <w:color w:val="000000"/>
          <w:sz w:val="28"/>
          <w:szCs w:val="28"/>
          <w:lang w:val="en-US" w:eastAsia="ru-RU"/>
        </w:rPr>
        <w:t>Y</w:t>
      </w: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E71A29" w:rsidRPr="00AC2AF5" w:rsidRDefault="00E71A29" w:rsidP="000A2506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оценку степени влияния фактора </w:t>
      </w:r>
      <w:r w:rsidRPr="00AC2AF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Х</w:t>
      </w: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результат функционирования процесса </w:t>
      </w:r>
      <w:r w:rsidRPr="00AC2AF5">
        <w:rPr>
          <w:rFonts w:ascii="Times New Roman" w:eastAsia="Times New Roman" w:hAnsi="Times New Roman"/>
          <w:i/>
          <w:color w:val="000000"/>
          <w:sz w:val="28"/>
          <w:szCs w:val="28"/>
          <w:lang w:val="en-US" w:eastAsia="ru-RU"/>
        </w:rPr>
        <w:t>Y</w:t>
      </w: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E71A29" w:rsidRPr="00AC2AF5" w:rsidRDefault="00E71A29" w:rsidP="000A2506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подтверждение состоятельности статистических выборок;</w:t>
      </w:r>
    </w:p>
    <w:p w:rsidR="00E71A29" w:rsidRPr="00AC2AF5" w:rsidRDefault="00E71A29" w:rsidP="000A2506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возможность прогнозирования результата функционирования процесса </w:t>
      </w:r>
      <w:r w:rsidRPr="00AC2AF5">
        <w:rPr>
          <w:rFonts w:ascii="Times New Roman" w:eastAsia="Times New Roman" w:hAnsi="Times New Roman"/>
          <w:i/>
          <w:color w:val="000000"/>
          <w:sz w:val="28"/>
          <w:szCs w:val="28"/>
          <w:lang w:val="en-US" w:eastAsia="ru-RU"/>
        </w:rPr>
        <w:t>Y</w:t>
      </w:r>
      <w:r w:rsidRPr="00AC2AF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AC2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изменениях фактора </w:t>
      </w:r>
      <w:r w:rsidRPr="00AC2AF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Х.</w:t>
      </w:r>
    </w:p>
    <w:p w:rsidR="00C24EC3" w:rsidRPr="00AC2AF5" w:rsidRDefault="00C24EC3" w:rsidP="00672660">
      <w:pPr>
        <w:pStyle w:val="2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C2AF5">
        <w:rPr>
          <w:sz w:val="28"/>
          <w:szCs w:val="28"/>
        </w:rPr>
        <w:lastRenderedPageBreak/>
        <w:t xml:space="preserve">Итогом исследования стала разработка полезной модели под рабочим названием «Система поддержки принятия решений по управлению развитием региона». Результатом работы системы являются представленные в виде графических изображений (таблиц и графиков) зависимости, отражающие перспективные направления развития экономики региона, что дает, для лиц, принимающих решения, информацию, необходимую для разработки стратегии развития региона. Доступен функционал прогнозирования (формирование возможных сценариев развития), мониторинга и контроля причинно-следственных связей между изменением управляемых факторов </w:t>
      </w:r>
      <w:r w:rsidRPr="00AC2AF5">
        <w:rPr>
          <w:i/>
          <w:sz w:val="28"/>
          <w:szCs w:val="28"/>
        </w:rPr>
        <w:t>X</w:t>
      </w:r>
      <w:r w:rsidRPr="00AC2AF5">
        <w:rPr>
          <w:sz w:val="28"/>
          <w:szCs w:val="28"/>
        </w:rPr>
        <w:t xml:space="preserve"> и состоянием системообразующих экономических процессов </w:t>
      </w:r>
      <w:r w:rsidRPr="00AC2AF5">
        <w:rPr>
          <w:i/>
          <w:sz w:val="28"/>
          <w:szCs w:val="28"/>
        </w:rPr>
        <w:t>Y</w:t>
      </w:r>
      <w:r w:rsidRPr="00AC2AF5">
        <w:rPr>
          <w:sz w:val="28"/>
          <w:szCs w:val="28"/>
        </w:rPr>
        <w:t xml:space="preserve">. </w:t>
      </w:r>
    </w:p>
    <w:p w:rsidR="00C576B6" w:rsidRPr="00AC2AF5" w:rsidRDefault="00C24EC3" w:rsidP="00672660">
      <w:pPr>
        <w:pStyle w:val="2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C2AF5">
        <w:rPr>
          <w:sz w:val="28"/>
          <w:szCs w:val="28"/>
        </w:rPr>
        <w:t>Для создания цифрового двойника и исследования его количественных характеристик (</w:t>
      </w:r>
      <w:r w:rsidR="00C576B6" w:rsidRPr="00AC2AF5">
        <w:rPr>
          <w:color w:val="000000" w:themeColor="text1"/>
          <w:sz w:val="28"/>
          <w:szCs w:val="28"/>
        </w:rPr>
        <w:t>значимость статистической взаимосвязи, влияние неучтенных факторов, качество модели и пр.</w:t>
      </w:r>
      <w:r w:rsidRPr="00AC2AF5">
        <w:rPr>
          <w:sz w:val="28"/>
          <w:szCs w:val="28"/>
        </w:rPr>
        <w:t xml:space="preserve">) были использованы методы корреляционно-регрессионного анализа. </w:t>
      </w:r>
    </w:p>
    <w:p w:rsidR="00C24EC3" w:rsidRPr="00AC2AF5" w:rsidRDefault="00C24EC3" w:rsidP="00672660">
      <w:pPr>
        <w:pStyle w:val="2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C2AF5">
        <w:rPr>
          <w:sz w:val="28"/>
          <w:szCs w:val="28"/>
        </w:rPr>
        <w:t>Цифровой двойник представляет собой композицию из десяти базовых экономических процессов (при решении частных задач возможно увеличение числа процессов), фиксирующих ключевые аспекты функционирования социально-экономической системы и представляющие собой существенную часть потенциала ее развития: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Качество государственного управления – состояние институциональной среды.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Базовое образование, здравоохранение, социальная защита.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Транспортная инфраструктура.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Стабильность макроэкономической среды.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Эффективность рынка труда.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Финансовый рынок.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Высшее образование и повышение квалификации.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Технологическое развитие.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Внешняя торговля.</w:t>
      </w:r>
    </w:p>
    <w:p w:rsidR="00C24EC3" w:rsidRPr="00AC2AF5" w:rsidRDefault="00C24EC3" w:rsidP="00672660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Инновационный потенциал.</w:t>
      </w:r>
    </w:p>
    <w:p w:rsidR="00C24EC3" w:rsidRPr="00AC2AF5" w:rsidRDefault="00C24EC3" w:rsidP="00672660">
      <w:pPr>
        <w:pStyle w:val="2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C2AF5">
        <w:rPr>
          <w:sz w:val="28"/>
          <w:szCs w:val="28"/>
        </w:rPr>
        <w:t>Экономический анализ процессов проводится с использованием мультикомпозиционных пар «фактор-индикатор», где фактор является показателем, непосредственно управляемым региональными органами власти властью, а индикатор показывает преимущественно макроэкономическое качество и динамику процесса, например, рост или падение производительности труда в регионе, динамику валового регионального продукта или индекс доходов бюджета. Факторы и индикаторы являются комплексными величинами, расчет которых производится на основании официальных данных Федеральной службы государственной статистики, что позволяет, в том числе, сравнивать между собой все субъекты Российской Федерации.</w:t>
      </w:r>
    </w:p>
    <w:p w:rsidR="00C24EC3" w:rsidRPr="00AC2AF5" w:rsidRDefault="00C24EC3" w:rsidP="000A2506">
      <w:pPr>
        <w:pStyle w:val="2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C2AF5">
        <w:rPr>
          <w:sz w:val="28"/>
          <w:szCs w:val="28"/>
        </w:rPr>
        <w:t>Технология анализа позволяет:</w:t>
      </w:r>
    </w:p>
    <w:p w:rsidR="00C24EC3" w:rsidRPr="00AC2AF5" w:rsidRDefault="00C24EC3" w:rsidP="000A250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lastRenderedPageBreak/>
        <w:t>составить комплексный рейтинг развития регионов, оценить выбранную стратегию задействования различных поясов развития - ресурсных, технологических и инновационных;</w:t>
      </w:r>
    </w:p>
    <w:p w:rsidR="00C24EC3" w:rsidRPr="00AC2AF5" w:rsidRDefault="00C24EC3" w:rsidP="000A250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оценить качество экономического развития отдельного взятого региона;</w:t>
      </w:r>
    </w:p>
    <w:p w:rsidR="00C24EC3" w:rsidRPr="00AC2AF5" w:rsidRDefault="00C24EC3" w:rsidP="000A250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найти точки роста и сформировать оптимальные стратегии развития;</w:t>
      </w:r>
    </w:p>
    <w:p w:rsidR="00C24EC3" w:rsidRPr="00AC2AF5" w:rsidRDefault="00C24EC3" w:rsidP="000A250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получить количественные оценки затрат на приведение экономики региона в целевое экономическое состояние;</w:t>
      </w:r>
    </w:p>
    <w:p w:rsidR="00C24EC3" w:rsidRPr="00AC2AF5" w:rsidRDefault="00C24EC3" w:rsidP="000A250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определить уровень институциональной нагрузки на экономику региона;</w:t>
      </w:r>
    </w:p>
    <w:p w:rsidR="00C24EC3" w:rsidRPr="00AC2AF5" w:rsidRDefault="00C24EC3" w:rsidP="000A250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оценить погрешности (искажения) в системе региональной статистики;</w:t>
      </w:r>
    </w:p>
    <w:p w:rsidR="00C24EC3" w:rsidRPr="00AC2AF5" w:rsidRDefault="00C24EC3" w:rsidP="000A2506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C2AF5">
        <w:rPr>
          <w:rFonts w:ascii="Times New Roman" w:hAnsi="Times New Roman"/>
          <w:sz w:val="28"/>
          <w:szCs w:val="28"/>
        </w:rPr>
        <w:t>оценить эффективность использования федеральных финансовых ресурсов.</w:t>
      </w:r>
    </w:p>
    <w:p w:rsidR="00761A01" w:rsidRDefault="00761A01" w:rsidP="000A2506">
      <w:pPr>
        <w:pStyle w:val="24"/>
        <w:shd w:val="clear" w:color="auto" w:fill="auto"/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2AF5">
        <w:rPr>
          <w:color w:val="000000" w:themeColor="text1"/>
          <w:sz w:val="28"/>
          <w:szCs w:val="28"/>
        </w:rPr>
        <w:t xml:space="preserve">При формировании перечня экономических процессов, составляющих </w:t>
      </w:r>
      <w:r w:rsidR="00DF57F1" w:rsidRPr="00AC2AF5">
        <w:rPr>
          <w:color w:val="000000" w:themeColor="text1"/>
          <w:sz w:val="28"/>
          <w:szCs w:val="28"/>
        </w:rPr>
        <w:t>базу региональной экономической система</w:t>
      </w:r>
      <w:r w:rsidRPr="00AC2AF5">
        <w:rPr>
          <w:color w:val="000000" w:themeColor="text1"/>
          <w:sz w:val="28"/>
          <w:szCs w:val="28"/>
        </w:rPr>
        <w:t>, за основу бала взята система категоризации Всемирного банка, применяемая при проведении исследований по конкурентоспособности</w:t>
      </w:r>
      <w:r w:rsidR="0067444C">
        <w:rPr>
          <w:color w:val="000000" w:themeColor="text1"/>
          <w:sz w:val="28"/>
          <w:szCs w:val="28"/>
        </w:rPr>
        <w:t xml:space="preserve"> </w:t>
      </w:r>
      <w:r w:rsidR="0067444C" w:rsidRPr="0067444C">
        <w:rPr>
          <w:color w:val="000000" w:themeColor="text1"/>
          <w:sz w:val="28"/>
          <w:szCs w:val="28"/>
        </w:rPr>
        <w:t>[</w:t>
      </w:r>
      <w:r w:rsidR="0067444C">
        <w:rPr>
          <w:color w:val="000000" w:themeColor="text1"/>
          <w:sz w:val="28"/>
          <w:szCs w:val="28"/>
        </w:rPr>
        <w:t>13</w:t>
      </w:r>
      <w:r w:rsidR="0067444C" w:rsidRPr="0067444C">
        <w:rPr>
          <w:color w:val="000000" w:themeColor="text1"/>
          <w:sz w:val="28"/>
          <w:szCs w:val="28"/>
        </w:rPr>
        <w:t>]</w:t>
      </w:r>
      <w:r w:rsidRPr="00AC2AF5">
        <w:rPr>
          <w:color w:val="000000" w:themeColor="text1"/>
          <w:sz w:val="28"/>
          <w:szCs w:val="28"/>
        </w:rPr>
        <w:t>. При описании экономических процессов и компоновке характеризующих их показателей использовались работы различных зарубежных и отечественных ученых экономистов. Необходимо особо отметить, что систем</w:t>
      </w:r>
      <w:r w:rsidR="00DF57F1" w:rsidRPr="00AC2AF5">
        <w:rPr>
          <w:color w:val="000000" w:themeColor="text1"/>
          <w:sz w:val="28"/>
          <w:szCs w:val="28"/>
        </w:rPr>
        <w:t>а</w:t>
      </w:r>
      <w:r w:rsidRPr="00AC2AF5">
        <w:rPr>
          <w:color w:val="000000" w:themeColor="text1"/>
          <w:sz w:val="28"/>
          <w:szCs w:val="28"/>
        </w:rPr>
        <w:t xml:space="preserve"> категоризации Всемирного банка взята лишь как ориентир для составления номенклатуры экономических процессов. Принципиальное отличие авторского подхода заключается в иной содержательной трактовке, а также составе и способе интерпретации взаимосвязанных пар «фактор-индикатор». </w:t>
      </w:r>
    </w:p>
    <w:p w:rsidR="00822D2B" w:rsidRPr="00AC2AF5" w:rsidRDefault="00FD00F7" w:rsidP="000A2506">
      <w:pPr>
        <w:pStyle w:val="24"/>
        <w:shd w:val="clear" w:color="auto" w:fill="auto"/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C2AF5">
        <w:rPr>
          <w:color w:val="000000" w:themeColor="text1"/>
          <w:sz w:val="28"/>
          <w:szCs w:val="28"/>
        </w:rPr>
        <w:t xml:space="preserve">В докладе представлен авторский подход по формированию экономико-математической модели, как одной из составляющих инструментария стратегического планирования. </w:t>
      </w:r>
      <w:r w:rsidR="00822D2B" w:rsidRPr="00AC2AF5">
        <w:rPr>
          <w:color w:val="000000" w:themeColor="text1"/>
          <w:sz w:val="28"/>
          <w:szCs w:val="28"/>
        </w:rPr>
        <w:t>Авторская методика предполагает декомпозицию экономики региона на десять процессов, фиксирующих ключевые ее аспекты функционирования и представляющие собой существенную часть потенциала развития.</w:t>
      </w:r>
      <w:r w:rsidR="00C9211F" w:rsidRPr="00AC2AF5">
        <w:rPr>
          <w:color w:val="000000" w:themeColor="text1"/>
          <w:sz w:val="28"/>
          <w:szCs w:val="28"/>
        </w:rPr>
        <w:t xml:space="preserve"> </w:t>
      </w:r>
      <w:r w:rsidR="00822D2B" w:rsidRPr="00AC2AF5">
        <w:rPr>
          <w:color w:val="000000" w:themeColor="text1"/>
          <w:sz w:val="28"/>
          <w:szCs w:val="28"/>
        </w:rPr>
        <w:t xml:space="preserve">Экономический анализ процессов проводился с использованием мультикомпозиционных пар «фактор-индикатор», где фактор является показателем, непосредственно управляемым региональными органами власти властью, а индикатор показывает преимущественно макроэкономическое качество и динамику процесса, например, рост или падение производительности труда в регионе, динамику валового регионального продукта или индекс доходов бюджета. </w:t>
      </w:r>
    </w:p>
    <w:p w:rsidR="00FD00F7" w:rsidRPr="00AC2AF5" w:rsidRDefault="00FD00F7" w:rsidP="00822D2B">
      <w:pPr>
        <w:pStyle w:val="24"/>
        <w:shd w:val="clear" w:color="auto" w:fill="auto"/>
        <w:spacing w:before="0"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C2AF5">
        <w:rPr>
          <w:color w:val="000000" w:themeColor="text1"/>
          <w:sz w:val="28"/>
          <w:szCs w:val="28"/>
        </w:rPr>
        <w:t xml:space="preserve">В целом предложенный инструментарий может быть востребован при проведении системного анализа макроэкономических показателей субъектов Российской Федерации и выработке рекомендаций по достижению целей устойчивого развития в качестве механизма независимого анализа социально-экономического развития территорий и </w:t>
      </w:r>
      <w:r w:rsidRPr="00AC2AF5">
        <w:rPr>
          <w:color w:val="000000" w:themeColor="text1"/>
          <w:sz w:val="28"/>
          <w:szCs w:val="28"/>
        </w:rPr>
        <w:lastRenderedPageBreak/>
        <w:t>проведения публичной экспертизы деятельности региональных органов власти.</w:t>
      </w:r>
    </w:p>
    <w:p w:rsidR="00FD00F7" w:rsidRPr="00AC2AF5" w:rsidRDefault="00FD00F7" w:rsidP="00F5519C">
      <w:pPr>
        <w:pStyle w:val="24"/>
        <w:shd w:val="clear" w:color="auto" w:fill="auto"/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D00F7" w:rsidRPr="00E45E0A" w:rsidRDefault="000A2506" w:rsidP="00E45E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45E0A">
        <w:rPr>
          <w:rFonts w:ascii="Times New Roman" w:hAnsi="Times New Roman" w:cs="Times New Roman"/>
          <w:b/>
          <w:i/>
          <w:sz w:val="24"/>
          <w:szCs w:val="24"/>
        </w:rPr>
        <w:t xml:space="preserve">Список </w:t>
      </w:r>
      <w:r w:rsidR="00E45E0A" w:rsidRPr="00E45E0A">
        <w:rPr>
          <w:rFonts w:ascii="Times New Roman" w:hAnsi="Times New Roman" w:cs="Times New Roman"/>
          <w:b/>
          <w:i/>
          <w:sz w:val="24"/>
          <w:szCs w:val="24"/>
        </w:rPr>
        <w:t xml:space="preserve">использованной </w:t>
      </w:r>
      <w:r w:rsidRPr="00E45E0A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FD00F7" w:rsidRPr="00E45E0A">
        <w:rPr>
          <w:rFonts w:ascii="Times New Roman" w:hAnsi="Times New Roman" w:cs="Times New Roman"/>
          <w:b/>
          <w:i/>
          <w:sz w:val="24"/>
          <w:szCs w:val="24"/>
        </w:rPr>
        <w:t>итератур</w:t>
      </w:r>
      <w:r w:rsidRPr="00E45E0A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="00E45E0A" w:rsidRPr="00E45E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5E0A">
        <w:rPr>
          <w:rFonts w:ascii="Times New Roman" w:hAnsi="Times New Roman" w:cs="Times New Roman"/>
          <w:sz w:val="24"/>
          <w:szCs w:val="24"/>
        </w:rPr>
        <w:t xml:space="preserve">Аганбегян А.Г. Анализ и прогнозирование социально-экономического развития регионов России (методические заметки) // Среднерусский вестник общественных наук.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 xml:space="preserve">2019. № 4. С. 15-28. 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5E0A">
        <w:rPr>
          <w:rFonts w:ascii="Times New Roman" w:hAnsi="Times New Roman" w:cs="Times New Roman"/>
          <w:sz w:val="24"/>
          <w:szCs w:val="24"/>
        </w:rPr>
        <w:t xml:space="preserve">Атаева А.Г. Проблемы разработки методологии стратегического планирования для региональных социально-экономических систем // Управление.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2019. № 4. С. 90-99.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5E0A">
        <w:rPr>
          <w:rFonts w:ascii="Times New Roman" w:hAnsi="Times New Roman" w:cs="Times New Roman"/>
          <w:sz w:val="24"/>
          <w:szCs w:val="24"/>
        </w:rPr>
        <w:t xml:space="preserve">Васа Л., Пальмаи Э. Индикативное планирование на национальном уровне как инструмент стратегического планирования (на примере Венгрии) // Научные труды Вольного экономического общества России.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2015. № 6. С. 600-629.</w:t>
      </w:r>
    </w:p>
    <w:p w:rsidR="00FD00F7" w:rsidRPr="00E45E0A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E0A">
        <w:rPr>
          <w:rFonts w:ascii="Times New Roman" w:hAnsi="Times New Roman" w:cs="Times New Roman"/>
          <w:sz w:val="24"/>
          <w:szCs w:val="24"/>
        </w:rPr>
        <w:t>Квинт В.Л. Концепция стратегирования. Т.1. СПб.: СЗИУ РАНХиГС, 2019. 132 с.</w:t>
      </w:r>
    </w:p>
    <w:p w:rsidR="000A2506" w:rsidRPr="00E94FDD" w:rsidRDefault="000A2506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5E0A">
        <w:rPr>
          <w:rFonts w:ascii="Times New Roman" w:hAnsi="Times New Roman" w:cs="Times New Roman"/>
          <w:sz w:val="24"/>
          <w:szCs w:val="24"/>
        </w:rPr>
        <w:t xml:space="preserve">Маслов О.Н., Димов Э.М., Чаадаев В.К. Моделирование случайных факторов при имитационном моделировании и управлении бизнес-процессами // Электросвязь.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2003. № 2. С. 39.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5E0A">
        <w:rPr>
          <w:rFonts w:ascii="Times New Roman" w:hAnsi="Times New Roman" w:cs="Times New Roman"/>
          <w:sz w:val="24"/>
          <w:szCs w:val="24"/>
        </w:rPr>
        <w:t xml:space="preserve">Медведев Д.А. Россия-2024: Стратегия социально-экономического развития // Вопросы экономики.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2018. № 10. С.</w:t>
      </w:r>
      <w:r w:rsidR="0067444C" w:rsidRPr="00E94FDD">
        <w:rPr>
          <w:rFonts w:ascii="Times New Roman" w:hAnsi="Times New Roman" w:cs="Times New Roman"/>
          <w:sz w:val="24"/>
          <w:szCs w:val="24"/>
        </w:rPr>
        <w:t xml:space="preserve">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5-28.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5E0A">
        <w:rPr>
          <w:rFonts w:ascii="Times New Roman" w:hAnsi="Times New Roman" w:cs="Times New Roman"/>
          <w:sz w:val="24"/>
          <w:szCs w:val="24"/>
        </w:rPr>
        <w:t xml:space="preserve">Никонова А.А. «Новая системность» стратегического планирования в индустрии 4.0 //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Journal</w:t>
      </w:r>
      <w:r w:rsidRPr="00E45E0A">
        <w:rPr>
          <w:rFonts w:ascii="Times New Roman" w:hAnsi="Times New Roman" w:cs="Times New Roman"/>
          <w:sz w:val="24"/>
          <w:szCs w:val="24"/>
        </w:rPr>
        <w:t xml:space="preserve">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E45E0A">
        <w:rPr>
          <w:rFonts w:ascii="Times New Roman" w:hAnsi="Times New Roman" w:cs="Times New Roman"/>
          <w:sz w:val="24"/>
          <w:szCs w:val="24"/>
        </w:rPr>
        <w:t xml:space="preserve">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E45E0A">
        <w:rPr>
          <w:rFonts w:ascii="Times New Roman" w:hAnsi="Times New Roman" w:cs="Times New Roman"/>
          <w:sz w:val="24"/>
          <w:szCs w:val="24"/>
        </w:rPr>
        <w:t xml:space="preserve">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Economy</w:t>
      </w:r>
      <w:r w:rsidRPr="00E45E0A">
        <w:rPr>
          <w:rFonts w:ascii="Times New Roman" w:hAnsi="Times New Roman" w:cs="Times New Roman"/>
          <w:sz w:val="24"/>
          <w:szCs w:val="24"/>
        </w:rPr>
        <w:t xml:space="preserve">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 xml:space="preserve">2019. Т. 20. № 2. С. 145-165. </w:t>
      </w:r>
    </w:p>
    <w:p w:rsidR="00502AF8" w:rsidRPr="00E94FDD" w:rsidRDefault="00502AF8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FDD">
        <w:rPr>
          <w:rFonts w:ascii="Times New Roman" w:hAnsi="Times New Roman" w:cs="Times New Roman"/>
          <w:sz w:val="24"/>
          <w:szCs w:val="24"/>
        </w:rPr>
        <w:t>Теоретические основы управления инновационным развитием экономики отраслей и предприятий / под ред. Бабкина А.В. СПб.: СПбГПУ, 2007. 552 с.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94FDD">
        <w:rPr>
          <w:rFonts w:ascii="Times New Roman" w:hAnsi="Times New Roman" w:cs="Times New Roman"/>
          <w:sz w:val="24"/>
          <w:szCs w:val="24"/>
        </w:rPr>
        <w:t xml:space="preserve">Цыбатов В.А. Прогнозирование и стратегическое планирование регионального развития: методы, модели информационные технологии // ИТ Арктика.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2018. № 2. С. 5-19.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94FDD">
        <w:rPr>
          <w:rFonts w:ascii="Times New Roman" w:hAnsi="Times New Roman" w:cs="Times New Roman"/>
          <w:sz w:val="24"/>
          <w:szCs w:val="24"/>
          <w:lang w:val="en-US"/>
        </w:rPr>
        <w:t xml:space="preserve">Halkos G., Tzeremes N.G., Kourtzidis S.A. Regional sustainability efficiency index in Europe: an additive two-stage DEA approach // Operational Research. 2015. Vol. 15. № 1. pp. 1-23. 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5E0A">
        <w:rPr>
          <w:rFonts w:ascii="Times New Roman" w:hAnsi="Times New Roman" w:cs="Times New Roman"/>
          <w:sz w:val="24"/>
          <w:szCs w:val="24"/>
          <w:lang w:val="en-US"/>
        </w:rPr>
        <w:t xml:space="preserve">Hansen B.E. (2020) Econometrics.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 xml:space="preserve">University of Wisconsin, Department of Economics. 2020. 894 </w:t>
      </w:r>
      <w:r w:rsidRPr="00E94FDD">
        <w:rPr>
          <w:rFonts w:ascii="Times New Roman" w:hAnsi="Times New Roman" w:cs="Times New Roman"/>
          <w:sz w:val="24"/>
          <w:szCs w:val="24"/>
        </w:rPr>
        <w:t>p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D00F7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FDD">
        <w:rPr>
          <w:rFonts w:ascii="Times New Roman" w:hAnsi="Times New Roman" w:cs="Times New Roman"/>
          <w:sz w:val="24"/>
          <w:szCs w:val="24"/>
          <w:lang w:val="en-US"/>
        </w:rPr>
        <w:t>Mintzberg H., Ahlstrand B., Lampel J.</w:t>
      </w:r>
      <w:r w:rsidRPr="00E45E0A">
        <w:rPr>
          <w:rFonts w:ascii="Times New Roman" w:hAnsi="Times New Roman" w:cs="Times New Roman"/>
          <w:sz w:val="24"/>
          <w:szCs w:val="24"/>
          <w:lang w:val="en-US"/>
        </w:rPr>
        <w:t xml:space="preserve"> (2009) Strategy Safari: A </w:t>
      </w:r>
      <w:r w:rsidRPr="00E94FDD">
        <w:rPr>
          <w:rFonts w:ascii="Times New Roman" w:hAnsi="Times New Roman" w:cs="Times New Roman"/>
          <w:sz w:val="24"/>
          <w:szCs w:val="24"/>
          <w:lang w:val="en-US"/>
        </w:rPr>
        <w:t>Guided</w:t>
      </w:r>
      <w:r w:rsidRPr="00E45E0A">
        <w:rPr>
          <w:rFonts w:ascii="Times New Roman" w:hAnsi="Times New Roman" w:cs="Times New Roman"/>
          <w:sz w:val="24"/>
          <w:szCs w:val="24"/>
          <w:lang w:val="en-US"/>
        </w:rPr>
        <w:t xml:space="preserve"> Tour Through The Wilds of Strategic Management. </w:t>
      </w:r>
      <w:r w:rsidRPr="00E94FDD">
        <w:rPr>
          <w:rFonts w:ascii="Times New Roman" w:hAnsi="Times New Roman" w:cs="Times New Roman"/>
          <w:sz w:val="24"/>
          <w:szCs w:val="24"/>
        </w:rPr>
        <w:t>Second Edition. FT Press. 407 p.</w:t>
      </w:r>
    </w:p>
    <w:p w:rsidR="00502AF8" w:rsidRPr="00E94FDD" w:rsidRDefault="00FD00F7" w:rsidP="00E94FDD">
      <w:pPr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94FDD">
        <w:rPr>
          <w:rFonts w:ascii="Times New Roman" w:hAnsi="Times New Roman" w:cs="Times New Roman"/>
          <w:sz w:val="24"/>
          <w:szCs w:val="24"/>
          <w:lang w:val="en-US"/>
        </w:rPr>
        <w:t>The Global Competitiveness Report 2017-2018.</w:t>
      </w:r>
      <w:r w:rsidR="00502AF8" w:rsidRPr="00E94FDD">
        <w:rPr>
          <w:rFonts w:ascii="Times New Roman" w:hAnsi="Times New Roman" w:cs="Times New Roman"/>
          <w:sz w:val="24"/>
          <w:szCs w:val="24"/>
          <w:lang w:val="en-US"/>
        </w:rPr>
        <w:t xml:space="preserve"> URL: </w:t>
      </w:r>
      <w:hyperlink r:id="rId10" w:history="1">
        <w:r w:rsidR="00502AF8" w:rsidRPr="00E94FDD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https://www.weforum.org/reports/the-global-competitiveness-report-2017-2018</w:t>
        </w:r>
      </w:hyperlink>
      <w:r w:rsidR="00502AF8" w:rsidRPr="00E94FD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502AF8" w:rsidRPr="00E94FDD" w:rsidSect="00AC2AF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9EB" w:rsidRDefault="00B159EB" w:rsidP="002A51C7">
      <w:pPr>
        <w:spacing w:after="0" w:line="240" w:lineRule="auto"/>
      </w:pPr>
      <w:r>
        <w:separator/>
      </w:r>
    </w:p>
  </w:endnote>
  <w:endnote w:type="continuationSeparator" w:id="0">
    <w:p w:rsidR="00B159EB" w:rsidRDefault="00B159EB" w:rsidP="002A5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9EB" w:rsidRDefault="00B159EB" w:rsidP="002A51C7">
      <w:pPr>
        <w:spacing w:after="0" w:line="240" w:lineRule="auto"/>
      </w:pPr>
      <w:r>
        <w:separator/>
      </w:r>
    </w:p>
  </w:footnote>
  <w:footnote w:type="continuationSeparator" w:id="0">
    <w:p w:rsidR="00B159EB" w:rsidRDefault="00B159EB" w:rsidP="002A5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B5432"/>
    <w:multiLevelType w:val="hybridMultilevel"/>
    <w:tmpl w:val="96305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5083D"/>
    <w:multiLevelType w:val="hybridMultilevel"/>
    <w:tmpl w:val="87B83E06"/>
    <w:lvl w:ilvl="0" w:tplc="5C884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10ADA"/>
    <w:multiLevelType w:val="hybridMultilevel"/>
    <w:tmpl w:val="5D26E864"/>
    <w:lvl w:ilvl="0" w:tplc="5C884E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5C16875"/>
    <w:multiLevelType w:val="hybridMultilevel"/>
    <w:tmpl w:val="76F4CE66"/>
    <w:lvl w:ilvl="0" w:tplc="0E1ED03E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75EA623D"/>
    <w:multiLevelType w:val="hybridMultilevel"/>
    <w:tmpl w:val="FBFEC736"/>
    <w:lvl w:ilvl="0" w:tplc="5C884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50E71"/>
    <w:multiLevelType w:val="hybridMultilevel"/>
    <w:tmpl w:val="B2F00FA2"/>
    <w:lvl w:ilvl="0" w:tplc="FA00856A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2BB"/>
    <w:rsid w:val="00097CDC"/>
    <w:rsid w:val="000A2506"/>
    <w:rsid w:val="000B103B"/>
    <w:rsid w:val="001A2E93"/>
    <w:rsid w:val="00233615"/>
    <w:rsid w:val="002A51C7"/>
    <w:rsid w:val="003C7628"/>
    <w:rsid w:val="004263F5"/>
    <w:rsid w:val="00464B90"/>
    <w:rsid w:val="004A786D"/>
    <w:rsid w:val="004A7CE1"/>
    <w:rsid w:val="00502AF8"/>
    <w:rsid w:val="005553CE"/>
    <w:rsid w:val="005802A6"/>
    <w:rsid w:val="006232BB"/>
    <w:rsid w:val="00647F3D"/>
    <w:rsid w:val="00663DA0"/>
    <w:rsid w:val="00672660"/>
    <w:rsid w:val="0067444C"/>
    <w:rsid w:val="007319BC"/>
    <w:rsid w:val="00740884"/>
    <w:rsid w:val="00761A01"/>
    <w:rsid w:val="007943FB"/>
    <w:rsid w:val="008154D9"/>
    <w:rsid w:val="00822D2B"/>
    <w:rsid w:val="009017C9"/>
    <w:rsid w:val="0094550E"/>
    <w:rsid w:val="00A46A37"/>
    <w:rsid w:val="00AC2AF5"/>
    <w:rsid w:val="00B159EB"/>
    <w:rsid w:val="00B85E5F"/>
    <w:rsid w:val="00BE3D9D"/>
    <w:rsid w:val="00C24EC3"/>
    <w:rsid w:val="00C576B6"/>
    <w:rsid w:val="00C63B60"/>
    <w:rsid w:val="00C9211F"/>
    <w:rsid w:val="00D25464"/>
    <w:rsid w:val="00DA1545"/>
    <w:rsid w:val="00DE2E23"/>
    <w:rsid w:val="00DF57F1"/>
    <w:rsid w:val="00E45E0A"/>
    <w:rsid w:val="00E71A29"/>
    <w:rsid w:val="00E94FDD"/>
    <w:rsid w:val="00F51414"/>
    <w:rsid w:val="00F5519C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24A14-A0D3-4E79-8465-CFC5AB6D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Indented Heading,H21,H22,Indented Heading1,Indented Heading2,Indented Heading3,Indented Heading4,H23,H211,H221,Indented Heading5,Indented Heading6,Indented Heading7,H24,H212,H222,Indented Heading8,H25,H213,H223,Indented Heading9,H26,H214,h2"/>
    <w:basedOn w:val="a"/>
    <w:next w:val="a"/>
    <w:link w:val="20"/>
    <w:uiPriority w:val="9"/>
    <w:unhideWhenUsed/>
    <w:qFormat/>
    <w:rsid w:val="00FD00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51C7"/>
  </w:style>
  <w:style w:type="paragraph" w:styleId="a5">
    <w:name w:val="footer"/>
    <w:basedOn w:val="a"/>
    <w:link w:val="a6"/>
    <w:uiPriority w:val="99"/>
    <w:unhideWhenUsed/>
    <w:rsid w:val="002A5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51C7"/>
  </w:style>
  <w:style w:type="character" w:styleId="a7">
    <w:name w:val="footnote reference"/>
    <w:basedOn w:val="a0"/>
    <w:uiPriority w:val="99"/>
    <w:semiHidden/>
    <w:unhideWhenUsed/>
    <w:rsid w:val="008154D9"/>
    <w:rPr>
      <w:vertAlign w:val="superscript"/>
    </w:rPr>
  </w:style>
  <w:style w:type="paragraph" w:styleId="21">
    <w:name w:val="Body Text Indent 2"/>
    <w:basedOn w:val="a"/>
    <w:link w:val="22"/>
    <w:uiPriority w:val="99"/>
    <w:unhideWhenUsed/>
    <w:rsid w:val="00E71A2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71A29"/>
  </w:style>
  <w:style w:type="paragraph" w:styleId="a8">
    <w:name w:val="List Paragraph"/>
    <w:basedOn w:val="a"/>
    <w:link w:val="a9"/>
    <w:uiPriority w:val="34"/>
    <w:qFormat/>
    <w:rsid w:val="00E71A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basedOn w:val="a0"/>
    <w:link w:val="a8"/>
    <w:uiPriority w:val="34"/>
    <w:rsid w:val="00E71A29"/>
    <w:rPr>
      <w:rFonts w:ascii="Calibri" w:eastAsia="Calibri" w:hAnsi="Calibri" w:cs="Times New Roman"/>
    </w:rPr>
  </w:style>
  <w:style w:type="character" w:customStyle="1" w:styleId="23">
    <w:name w:val="Основной текст (2)_"/>
    <w:basedOn w:val="a0"/>
    <w:link w:val="24"/>
    <w:rsid w:val="00C24EC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24EC3"/>
    <w:pPr>
      <w:widowControl w:val="0"/>
      <w:shd w:val="clear" w:color="auto" w:fill="FFFFFF"/>
      <w:spacing w:before="540" w:after="900" w:line="322" w:lineRule="exact"/>
      <w:jc w:val="center"/>
    </w:pPr>
    <w:rPr>
      <w:rFonts w:ascii="Times New Roman" w:eastAsia="Times New Roman" w:hAnsi="Times New Roman" w:cs="Times New Roman"/>
    </w:rPr>
  </w:style>
  <w:style w:type="table" w:customStyle="1" w:styleId="5">
    <w:name w:val="Сетка таблицы5"/>
    <w:basedOn w:val="a1"/>
    <w:next w:val="aa"/>
    <w:uiPriority w:val="59"/>
    <w:rsid w:val="00761A0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761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aliases w:val="Table_Footnote_last Знак,Table_Footnote_last Знак Знак,Table_Footnote_last,Текст сноски Знак1 Знак,Текст сноски Знак Знак Знак,Footnote Text Char Знак Знак,Footnote Text Char Знак,Текст сноски-FN"/>
    <w:basedOn w:val="a"/>
    <w:link w:val="ac"/>
    <w:uiPriority w:val="99"/>
    <w:unhideWhenUsed/>
    <w:rsid w:val="00761A0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Текст сноски Знак1 Знак Знак,Текст сноски Знак Знак Знак Знак,Footnote Text Char Знак Знак Знак,Footnote Text Char Знак Знак1"/>
    <w:basedOn w:val="a0"/>
    <w:link w:val="ab"/>
    <w:uiPriority w:val="99"/>
    <w:rsid w:val="00761A01"/>
    <w:rPr>
      <w:sz w:val="20"/>
      <w:szCs w:val="20"/>
    </w:rPr>
  </w:style>
  <w:style w:type="character" w:styleId="ad">
    <w:name w:val="Hyperlink"/>
    <w:basedOn w:val="a0"/>
    <w:uiPriority w:val="99"/>
    <w:unhideWhenUsed/>
    <w:rsid w:val="00761A01"/>
    <w:rPr>
      <w:color w:val="0563C1" w:themeColor="hyperlink"/>
      <w:u w:val="single"/>
    </w:rPr>
  </w:style>
  <w:style w:type="character" w:customStyle="1" w:styleId="20">
    <w:name w:val="Заголовок 2 Знак"/>
    <w:aliases w:val="Indented Heading Знак,H21 Знак,H22 Знак,Indented Heading1 Знак,Indented Heading2 Знак,Indented Heading3 Знак,Indented Heading4 Знак,H23 Знак,H211 Знак,H221 Знак,Indented Heading5 Знак,Indented Heading6 Знак,Indented Heading7 Знак"/>
    <w:basedOn w:val="a0"/>
    <w:link w:val="2"/>
    <w:uiPriority w:val="9"/>
    <w:rsid w:val="00FD00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js-item-maininfo">
    <w:name w:val="js-item-maininfo"/>
    <w:basedOn w:val="a0"/>
    <w:rsid w:val="00FD0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weforum.org/reports/the-global-competitiveness-report-2017-2018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09780-2FF1-4E4C-8A35-3126026F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Воронова Полина Александровна</cp:lastModifiedBy>
  <cp:revision>2</cp:revision>
  <dcterms:created xsi:type="dcterms:W3CDTF">2020-10-03T10:46:00Z</dcterms:created>
  <dcterms:modified xsi:type="dcterms:W3CDTF">2020-10-03T10:46:00Z</dcterms:modified>
</cp:coreProperties>
</file>